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C8" w:rsidRDefault="00F51CC8" w:rsidP="00F51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5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51CC8" w:rsidRDefault="00F51CC8" w:rsidP="00F51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F51CC8" w:rsidRPr="001E3578" w:rsidRDefault="00F51CC8" w:rsidP="00F51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Онотское муниципальное образование</w:t>
      </w:r>
    </w:p>
    <w:p w:rsidR="00F51CC8" w:rsidRPr="00C23692" w:rsidRDefault="00F51CC8" w:rsidP="00F51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51CC8" w:rsidRPr="00C23692" w:rsidRDefault="00F51CC8" w:rsidP="00F51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1CC8" w:rsidRPr="00C23692" w:rsidRDefault="00F51CC8" w:rsidP="00F51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C8" w:rsidRDefault="00AD2BA5" w:rsidP="00F51CC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 16.10.2018 № 67</w:t>
      </w:r>
    </w:p>
    <w:p w:rsidR="00F51CC8" w:rsidRDefault="00F51CC8" w:rsidP="00F51CC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1CC8" w:rsidRDefault="00F51CC8" w:rsidP="00F51CC8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51CC8" w:rsidRPr="001E3578" w:rsidRDefault="00F51CC8" w:rsidP="00F51CC8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ОБ</w:t>
      </w: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ОНОТСКОГО МУНИЦИПАЛЬНОГО ОБРАЗОВАНИЯ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</w:t>
      </w:r>
    </w:p>
    <w:p w:rsidR="00F51CC8" w:rsidRPr="00C23692" w:rsidRDefault="00F51CC8" w:rsidP="00F5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КОНФЛИКТУ ИНТЕРЕСОВ (в новой редакции)</w:t>
      </w:r>
      <w:r w:rsidRPr="00C23692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F51CC8" w:rsidRPr="00C23692" w:rsidRDefault="00F51CC8" w:rsidP="00F51CC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приведения  нормативно-правовых актов администрации Онотского муниципального образования в соответствие с действующим законодательством, </w:t>
      </w:r>
      <w:r w:rsidRPr="00BD3A4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уководствуясь статьями 6,32 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Онотского муниципального образования</w:t>
      </w:r>
    </w:p>
    <w:p w:rsidR="00F51CC8" w:rsidRPr="00C21BC5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BC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Отменить: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постановление администрации Онотского муниципального образования от 26.04.2016 № 49 «О  утверждении Положения о порядке сообщения муниципальными служащими администрации Онотского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постановление администрации Онотского муниципального образования от 13.04.2018 № 21 «О внесении изменений и дополнений в Положение «О порядке сообщения муниципальными служащими администрации Онотского муниципального образования о возникновении личной заинтересованности при исполнении должностных обязанностей,</w:t>
      </w:r>
      <w:r w:rsidRPr="00F51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которая приводит или может привести к конфликту интересов», утвержденное постановлением администрации Онотского муниципального образования от 26.04.2016 г. № 49».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Pr="00BD3A46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Онотского муниципального образования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Главному специалисту администрации Онотского муниципального образования: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внести в оригинал постановления администрации Онотского муниципального образования  от 13.04.2018 № 21 «О внесении изменений и дополнений в Положение «О порядке сообщения муниципальными служащими администрации Онотского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постановлением администрации Онотского муниципального образования от 26.04.2016 г. № 49»,</w:t>
      </w:r>
      <w:r w:rsidRPr="00C21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Онотского муниципального образования от 26.04.2016 № 49 «О утверждении Положения о порядке сообщения муниципальными служащими администрации Онотского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F51CC8" w:rsidRPr="00C23692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3.2. опубликовать настоящее постановление в издании «Онотский вестник» и разместить в подразделе  Онотского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C51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cher</w:t>
      </w:r>
      <w:r w:rsidRPr="00C51C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irkobl</w:t>
      </w:r>
      <w:r w:rsidRPr="00C51C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51C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F51CC8" w:rsidRPr="00C23692" w:rsidRDefault="00F51CC8" w:rsidP="00F51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главу Онотского муниципального образования В.М. Кочеткова.</w:t>
      </w:r>
    </w:p>
    <w:p w:rsidR="00F51CC8" w:rsidRPr="00C23692" w:rsidRDefault="00F51CC8" w:rsidP="00F51C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F51CC8" w:rsidRPr="00C23692" w:rsidTr="00E608F2">
        <w:tc>
          <w:tcPr>
            <w:tcW w:w="4390" w:type="dxa"/>
          </w:tcPr>
          <w:p w:rsidR="00F51CC8" w:rsidRPr="00C23692" w:rsidRDefault="00AD2BA5" w:rsidP="00E6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И.о. главы</w:t>
            </w:r>
            <w:r w:rsidR="00F51CC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Онотского муниципального образования:</w:t>
            </w:r>
          </w:p>
        </w:tc>
        <w:tc>
          <w:tcPr>
            <w:tcW w:w="4955" w:type="dxa"/>
            <w:hideMark/>
          </w:tcPr>
          <w:p w:rsidR="00F51CC8" w:rsidRPr="00C23692" w:rsidRDefault="00F51CC8" w:rsidP="00AD2B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 </w:t>
            </w:r>
            <w:r w:rsidR="00AD2BA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И.И. Хороших</w:t>
            </w:r>
          </w:p>
        </w:tc>
      </w:tr>
    </w:tbl>
    <w:p w:rsidR="00155A6B" w:rsidRDefault="00155A6B" w:rsidP="00F51CC8"/>
    <w:p w:rsidR="00F51CC8" w:rsidRDefault="00F51CC8" w:rsidP="00F51CC8"/>
    <w:p w:rsidR="00F51CC8" w:rsidRDefault="00F51CC8" w:rsidP="00F51CC8"/>
    <w:p w:rsidR="00F51CC8" w:rsidRDefault="00F51CC8" w:rsidP="00F51CC8"/>
    <w:p w:rsidR="00F51CC8" w:rsidRDefault="00F51CC8" w:rsidP="00F51CC8"/>
    <w:p w:rsidR="00F51CC8" w:rsidRDefault="00F51CC8" w:rsidP="00F51CC8"/>
    <w:p w:rsidR="00F51CC8" w:rsidRDefault="00F51CC8" w:rsidP="00F51CC8"/>
    <w:p w:rsidR="00F51CC8" w:rsidRPr="00C23692" w:rsidRDefault="00F51CC8" w:rsidP="00F5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1CC8" w:rsidRPr="00F51CC8" w:rsidTr="00E608F2">
        <w:tc>
          <w:tcPr>
            <w:tcW w:w="4785" w:type="dxa"/>
            <w:shd w:val="clear" w:color="auto" w:fill="auto"/>
          </w:tcPr>
          <w:p w:rsidR="00F51CC8" w:rsidRPr="00BF71CD" w:rsidRDefault="00F51CC8" w:rsidP="00E608F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F51CC8" w:rsidRPr="00F51CC8" w:rsidRDefault="00F51CC8" w:rsidP="00E608F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51CC8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F51CC8" w:rsidRPr="00F51CC8" w:rsidRDefault="00F51CC8" w:rsidP="00E608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CC8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Онотского муниципального образования</w:t>
            </w:r>
          </w:p>
          <w:p w:rsidR="00F51CC8" w:rsidRPr="00F51CC8" w:rsidRDefault="00AD2BA5" w:rsidP="00E608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«16» октября  2018 </w:t>
            </w:r>
            <w:r w:rsidR="00F51CC8" w:rsidRPr="00F51CC8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</w:tbl>
    <w:p w:rsidR="00F51CC8" w:rsidRPr="00C23692" w:rsidRDefault="00F51CC8" w:rsidP="00F5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C8" w:rsidRPr="00C23692" w:rsidRDefault="00F51CC8" w:rsidP="00F5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C8" w:rsidRDefault="00F51CC8" w:rsidP="00F5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администрации онотского муниципального образования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</w:t>
      </w:r>
    </w:p>
    <w:p w:rsidR="00F51CC8" w:rsidRDefault="00F51CC8" w:rsidP="00F5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</w:t>
      </w:r>
    </w:p>
    <w:p w:rsidR="00F51CC8" w:rsidRDefault="00F51CC8" w:rsidP="00F5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КОТОРАЯ ПРИВОДИТ ИЛИ МОЖЕТ ПРИВЕСТИ </w:t>
      </w:r>
    </w:p>
    <w:p w:rsidR="00F51CC8" w:rsidRDefault="00F51CC8" w:rsidP="00F5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F51CC8" w:rsidRPr="00C23692" w:rsidRDefault="00F51CC8" w:rsidP="00F5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C8" w:rsidRPr="00C23692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Онотского муниципального образования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Онотского  муниципального </w:t>
      </w:r>
      <w:r w:rsidRPr="00186A2D">
        <w:rPr>
          <w:rFonts w:ascii="Times New Roman" w:hAnsi="Times New Roman" w:cs="Times New Roman"/>
          <w:sz w:val="28"/>
          <w:szCs w:val="28"/>
        </w:rPr>
        <w:t>образования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ответственному за ведение кадровой работы в администрации Онотского муниципального образования (далее – должностное лицо). Уведомления направляются лично или почтовым отправлением в администрацию Онотского муниципального образования на имя главы администрации Онотского муниципального образования.</w:t>
      </w:r>
    </w:p>
    <w:p w:rsidR="00F51CC8" w:rsidRPr="00DA02C9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F51CC8" w:rsidRPr="00C23692" w:rsidRDefault="00F51CC8" w:rsidP="00F51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у должностного лица. </w:t>
      </w:r>
    </w:p>
    <w:p w:rsidR="00F51CC8" w:rsidRPr="00DA02C9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>7. На уведомлении ставится отметка о д</w:t>
      </w:r>
      <w:r>
        <w:rPr>
          <w:rFonts w:ascii="Times New Roman" w:hAnsi="Times New Roman" w:cs="Times New Roman"/>
          <w:iCs/>
          <w:sz w:val="28"/>
          <w:szCs w:val="28"/>
        </w:rPr>
        <w:t>ате и времени его поступления должностному лицу</w:t>
      </w:r>
      <w:r w:rsidRPr="00DA02C9">
        <w:rPr>
          <w:rFonts w:ascii="Times New Roman" w:hAnsi="Times New Roman" w:cs="Times New Roman"/>
          <w:iCs/>
          <w:sz w:val="28"/>
          <w:szCs w:val="28"/>
        </w:rPr>
        <w:t>, номер регистрации в журнале, 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должностного лица.</w:t>
      </w:r>
    </w:p>
    <w:p w:rsidR="00F51CC8" w:rsidRPr="00DA02C9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. После регистрации уведомления должностное лицо,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8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главе Онотского муниципального образования </w:t>
      </w:r>
      <w:r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F51CC8" w:rsidRPr="00465ED2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лава Онотского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должностному лицу на предварительное рассмотрение. 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должностное лицо,  имеет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уведомления, должностное лицо, подготавливает мотивированное заключение.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должностным лицом  представляются в комиссию по соблюдению требований к служебному поведению муниципальных служащих администрации Онотского муниципального образования и урегулированию конфликта интересов (далее - Комиссия по урегулированию конфликта интересов) в течение 7 рабочих дней со дня поступления уведомления должностному лицу на предварительное рассмотрение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в Комиссию по урегулированию конфликта интересов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45 рабочих дней со дня поступления уведомления должностному лицу на предварительное рассмотрение. Указанный срок может быть продлен, но не более чем на 30 календарных дней.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Рассмотрение уведомлений Комиссией по урегулированию конфликта интересов осуществляется в порядке и сроки, предусмотренные Положением о комиссии по соблюдению требований к служебному поведению муниципальных служащих и Онотского муниципального образования и урегулированию конфликта интересов, утвержденным постановлением администрации Онотского муниципального образования. 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По результатам рассмотрения документов, предусмотренных 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53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Онотс</w:t>
      </w:r>
      <w:r w:rsidR="00C8395B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Комиссией по урегулированию конфликта интересов,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решение (протокол заседания) Комиссии по урегулированию конфликта интересов. 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</w:t>
      </w:r>
      <w:r w:rsidRPr="0055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F51CC8" w:rsidRDefault="00F51CC8" w:rsidP="00F5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6119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6119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лава Онотского муниципального образования </w:t>
      </w:r>
      <w:r w:rsidRPr="00FD6119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>конфликта интересов либо рекомендует муниципальному служащему, направившему уведомление, принять такие меры.</w:t>
      </w:r>
    </w:p>
    <w:p w:rsidR="00F51CC8" w:rsidRDefault="00F51CC8" w:rsidP="00F51CC8"/>
    <w:p w:rsidR="00F51CC8" w:rsidRDefault="00F51CC8" w:rsidP="00F51CC8"/>
    <w:p w:rsidR="00F51CC8" w:rsidRDefault="00F51CC8" w:rsidP="00F51CC8"/>
    <w:p w:rsidR="00F51CC8" w:rsidRDefault="00F51CC8" w:rsidP="00F51CC8"/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Онотского муниципального 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 возникновении </w:t>
      </w:r>
    </w:p>
    <w:p w:rsidR="00E608F2" w:rsidRPr="001A199A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личной заинтересованности 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E608F2" w:rsidRPr="00352CEF" w:rsidTr="00E608F2">
        <w:trPr>
          <w:trHeight w:val="1589"/>
        </w:trPr>
        <w:tc>
          <w:tcPr>
            <w:tcW w:w="4361" w:type="dxa"/>
          </w:tcPr>
          <w:p w:rsidR="00E608F2" w:rsidRPr="001A2F82" w:rsidRDefault="00E608F2" w:rsidP="00E608F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E608F2" w:rsidRPr="00352CEF" w:rsidRDefault="00E608F2" w:rsidP="00E608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F2" w:rsidRPr="00352CEF" w:rsidRDefault="00E608F2" w:rsidP="00E608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352CEF">
              <w:rPr>
                <w:rFonts w:ascii="Times New Roman" w:hAnsi="Times New Roman" w:cs="Times New Roman"/>
                <w:sz w:val="28"/>
                <w:szCs w:val="28"/>
              </w:rPr>
              <w:t xml:space="preserve"> Онотского </w:t>
            </w:r>
          </w:p>
          <w:p w:rsidR="00E608F2" w:rsidRPr="00352CEF" w:rsidRDefault="00E608F2" w:rsidP="00E608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608F2" w:rsidRPr="00E608F2" w:rsidRDefault="00E608F2" w:rsidP="00E60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E608F2" w:rsidRPr="00C23692" w:rsidTr="00E608F2">
        <w:tc>
          <w:tcPr>
            <w:tcW w:w="4361" w:type="dxa"/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08F2" w:rsidRPr="00C23692" w:rsidRDefault="00E608F2" w:rsidP="00E60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F2" w:rsidRPr="00C23692" w:rsidRDefault="00E608F2" w:rsidP="00E60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E608F2" w:rsidRPr="00C23692" w:rsidRDefault="00E608F2" w:rsidP="00E60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608F2" w:rsidRPr="00C23692" w:rsidRDefault="00E608F2" w:rsidP="00E608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E608F2" w:rsidRPr="00C23692" w:rsidRDefault="00E608F2" w:rsidP="00E6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8F2" w:rsidRDefault="00E608F2" w:rsidP="00E608F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608F2" w:rsidRDefault="00E608F2" w:rsidP="00E608F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C8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E608F2" w:rsidRDefault="00E608F2" w:rsidP="00E608F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C839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E608F2" w:rsidRPr="00C23692" w:rsidRDefault="00E608F2" w:rsidP="00E608F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E608F2" w:rsidRPr="00C23692" w:rsidRDefault="00E608F2" w:rsidP="00E608F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F2" w:rsidRPr="00C23692" w:rsidRDefault="00E608F2" w:rsidP="00E608F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608F2" w:rsidRPr="00C23692" w:rsidRDefault="00E608F2" w:rsidP="00E608F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E608F2" w:rsidRPr="00C23692" w:rsidRDefault="00E608F2" w:rsidP="00E608F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C8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E608F2" w:rsidRPr="00C23692" w:rsidRDefault="00E608F2" w:rsidP="00E608F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E608F2" w:rsidRPr="00C23692" w:rsidRDefault="00E608F2" w:rsidP="00E608F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E608F2" w:rsidRPr="00C23692" w:rsidRDefault="00E608F2" w:rsidP="00E608F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608F2" w:rsidRPr="00C23692" w:rsidRDefault="00E608F2" w:rsidP="00E608F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F2" w:rsidRPr="00C23692" w:rsidRDefault="00E608F2" w:rsidP="00E608F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E608F2" w:rsidRPr="00C23692" w:rsidRDefault="00E608F2" w:rsidP="00E608F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E608F2" w:rsidRPr="00C23692" w:rsidTr="00E608F2">
        <w:tc>
          <w:tcPr>
            <w:tcW w:w="3115" w:type="dxa"/>
          </w:tcPr>
          <w:p w:rsidR="00E608F2" w:rsidRPr="00C23692" w:rsidRDefault="00E608F2" w:rsidP="00E608F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E608F2" w:rsidRPr="00C23692" w:rsidRDefault="00E608F2" w:rsidP="00E608F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E608F2" w:rsidRPr="00C23692" w:rsidRDefault="00E608F2" w:rsidP="00E608F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E608F2" w:rsidRPr="00C23692" w:rsidTr="00E608F2">
        <w:tc>
          <w:tcPr>
            <w:tcW w:w="3115" w:type="dxa"/>
          </w:tcPr>
          <w:p w:rsidR="00E608F2" w:rsidRPr="00C23692" w:rsidRDefault="00E608F2" w:rsidP="00E608F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608F2" w:rsidRPr="00C23692" w:rsidRDefault="00E608F2" w:rsidP="00E608F2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E608F2" w:rsidRPr="00C23692" w:rsidRDefault="00E608F2" w:rsidP="00E608F2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608F2" w:rsidRPr="00C23692" w:rsidRDefault="00E608F2" w:rsidP="00E608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F2" w:rsidRDefault="00E608F2" w:rsidP="00E608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08F2" w:rsidRPr="00C23692" w:rsidRDefault="00E608F2" w:rsidP="00E608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E608F2" w:rsidRPr="00C23692" w:rsidRDefault="00E608F2" w:rsidP="00E608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08F2" w:rsidRPr="00C23692" w:rsidTr="00E608F2">
        <w:tc>
          <w:tcPr>
            <w:tcW w:w="9345" w:type="dxa"/>
            <w:gridSpan w:val="2"/>
          </w:tcPr>
          <w:p w:rsidR="00E608F2" w:rsidRPr="00C23692" w:rsidRDefault="00E608F2" w:rsidP="00E608F2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E608F2" w:rsidRPr="00C23692" w:rsidTr="00E608F2">
        <w:tc>
          <w:tcPr>
            <w:tcW w:w="9345" w:type="dxa"/>
            <w:gridSpan w:val="2"/>
          </w:tcPr>
          <w:p w:rsidR="00E608F2" w:rsidRPr="00C23692" w:rsidRDefault="00E608F2" w:rsidP="00E608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E608F2" w:rsidRPr="00C23692" w:rsidTr="00E608F2">
        <w:tc>
          <w:tcPr>
            <w:tcW w:w="9345" w:type="dxa"/>
            <w:gridSpan w:val="2"/>
          </w:tcPr>
          <w:p w:rsidR="00E608F2" w:rsidRPr="00C23692" w:rsidRDefault="00E608F2" w:rsidP="00E608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E608F2" w:rsidRPr="00C23692" w:rsidTr="00E608F2">
        <w:tc>
          <w:tcPr>
            <w:tcW w:w="9345" w:type="dxa"/>
            <w:gridSpan w:val="2"/>
          </w:tcPr>
          <w:p w:rsidR="00E608F2" w:rsidRPr="00C23692" w:rsidRDefault="00E608F2" w:rsidP="00E608F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E608F2" w:rsidRPr="00C23692" w:rsidRDefault="00E608F2" w:rsidP="00E608F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F2" w:rsidRPr="00C23692" w:rsidTr="00E608F2">
        <w:tc>
          <w:tcPr>
            <w:tcW w:w="4672" w:type="dxa"/>
          </w:tcPr>
          <w:p w:rsidR="00E608F2" w:rsidRPr="00C23692" w:rsidRDefault="00E608F2" w:rsidP="00E608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E608F2" w:rsidRPr="00C23692" w:rsidRDefault="00E608F2" w:rsidP="00E608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608F2" w:rsidRPr="00C23692" w:rsidTr="00E608F2">
        <w:tc>
          <w:tcPr>
            <w:tcW w:w="4672" w:type="dxa"/>
          </w:tcPr>
          <w:p w:rsidR="00E608F2" w:rsidRPr="00C23692" w:rsidRDefault="00E608F2" w:rsidP="00E608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E608F2" w:rsidRPr="00C23692" w:rsidRDefault="00E608F2" w:rsidP="00E608F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E608F2" w:rsidRPr="00C23692" w:rsidRDefault="00E608F2" w:rsidP="00E608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F2" w:rsidRPr="00C23692" w:rsidRDefault="00E608F2" w:rsidP="00E608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F2" w:rsidRPr="00C23692" w:rsidRDefault="00E608F2" w:rsidP="00E608F2">
      <w:pPr>
        <w:rPr>
          <w:rFonts w:ascii="Times New Roman" w:hAnsi="Times New Roman" w:cs="Times New Roman"/>
        </w:rPr>
        <w:sectPr w:rsidR="00E608F2" w:rsidRPr="00C23692" w:rsidSect="00E608F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Pr="00352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2CEF">
        <w:rPr>
          <w:rFonts w:ascii="Times New Roman" w:hAnsi="Times New Roman" w:cs="Times New Roman"/>
          <w:sz w:val="28"/>
          <w:szCs w:val="28"/>
        </w:rPr>
        <w:t>Онотского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E608F2" w:rsidRDefault="00E608F2" w:rsidP="00E608F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F2" w:rsidRPr="00C23692" w:rsidRDefault="00E608F2" w:rsidP="00E6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E608F2" w:rsidRPr="00C2369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E608F2" w:rsidRPr="00C23692" w:rsidTr="00E608F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5"/>
                <w:rFonts w:ascii="Times New Roman" w:hAnsi="Times New Roman" w:cs="Times New Roman"/>
                <w:i/>
                <w:sz w:val="20"/>
                <w:szCs w:val="20"/>
              </w:rPr>
              <w:footnoteReference w:id="5"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5"/>
                <w:rFonts w:ascii="Times New Roman" w:hAnsi="Times New Roman" w:cs="Times New Roman"/>
                <w:i/>
                <w:sz w:val="20"/>
                <w:szCs w:val="20"/>
              </w:rPr>
              <w:footnoteReference w:id="6"/>
            </w:r>
          </w:p>
        </w:tc>
      </w:tr>
      <w:tr w:rsidR="00E608F2" w:rsidRPr="00C23692" w:rsidTr="00E608F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F2" w:rsidRPr="00C23692" w:rsidTr="00E608F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08F2" w:rsidRPr="00C23692" w:rsidTr="00E608F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8F2" w:rsidRPr="00C23692" w:rsidRDefault="00E608F2" w:rsidP="00E6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8F2" w:rsidRPr="00C23692" w:rsidRDefault="00E608F2" w:rsidP="00E608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C8" w:rsidRDefault="00F51CC8" w:rsidP="00F51CC8"/>
    <w:sectPr w:rsidR="00F51CC8" w:rsidSect="00C8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B5" w:rsidRDefault="00EB23B5" w:rsidP="00F51CC8">
      <w:pPr>
        <w:spacing w:after="0" w:line="240" w:lineRule="auto"/>
      </w:pPr>
      <w:r>
        <w:separator/>
      </w:r>
    </w:p>
  </w:endnote>
  <w:endnote w:type="continuationSeparator" w:id="1">
    <w:p w:rsidR="00EB23B5" w:rsidRDefault="00EB23B5" w:rsidP="00F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B5" w:rsidRDefault="00EB23B5" w:rsidP="00F51CC8">
      <w:pPr>
        <w:spacing w:after="0" w:line="240" w:lineRule="auto"/>
      </w:pPr>
      <w:r>
        <w:separator/>
      </w:r>
    </w:p>
  </w:footnote>
  <w:footnote w:type="continuationSeparator" w:id="1">
    <w:p w:rsidR="00EB23B5" w:rsidRDefault="00EB23B5" w:rsidP="00F51CC8">
      <w:pPr>
        <w:spacing w:after="0" w:line="240" w:lineRule="auto"/>
      </w:pPr>
      <w:r>
        <w:continuationSeparator/>
      </w:r>
    </w:p>
  </w:footnote>
  <w:footnote w:id="2">
    <w:p w:rsidR="00E608F2" w:rsidRDefault="00E608F2" w:rsidP="00F51CC8">
      <w:pPr>
        <w:pStyle w:val="a3"/>
        <w:jc w:val="both"/>
      </w:pPr>
    </w:p>
  </w:footnote>
  <w:footnote w:id="3">
    <w:p w:rsidR="00E608F2" w:rsidRPr="00C02779" w:rsidRDefault="00E608F2" w:rsidP="00F51CC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</w:footnote>
  <w:footnote w:id="4"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  <w:p w:rsidR="00E608F2" w:rsidRDefault="00E608F2" w:rsidP="00E608F2">
      <w:pPr>
        <w:pStyle w:val="a3"/>
        <w:tabs>
          <w:tab w:val="left" w:pos="6765"/>
        </w:tabs>
        <w:jc w:val="both"/>
      </w:pPr>
    </w:p>
  </w:footnote>
  <w:footnote w:id="5">
    <w:p w:rsidR="00E608F2" w:rsidRDefault="00E608F2" w:rsidP="00E608F2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6">
    <w:p w:rsidR="00E608F2" w:rsidRDefault="00E608F2" w:rsidP="00E608F2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CC8"/>
    <w:rsid w:val="00155A6B"/>
    <w:rsid w:val="00512768"/>
    <w:rsid w:val="00661A7E"/>
    <w:rsid w:val="009F7DC1"/>
    <w:rsid w:val="00AD2BA5"/>
    <w:rsid w:val="00B9783F"/>
    <w:rsid w:val="00C8395B"/>
    <w:rsid w:val="00D055BA"/>
    <w:rsid w:val="00DD7624"/>
    <w:rsid w:val="00E608F2"/>
    <w:rsid w:val="00E61AFA"/>
    <w:rsid w:val="00EB23B5"/>
    <w:rsid w:val="00F5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C8"/>
    <w:pPr>
      <w:spacing w:before="0" w:after="160" w:line="259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1C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51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51CC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5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1CC8"/>
  </w:style>
  <w:style w:type="paragraph" w:styleId="a8">
    <w:name w:val="footer"/>
    <w:basedOn w:val="a"/>
    <w:link w:val="a9"/>
    <w:uiPriority w:val="99"/>
    <w:semiHidden/>
    <w:unhideWhenUsed/>
    <w:rsid w:val="00F5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1CC8"/>
  </w:style>
  <w:style w:type="table" w:styleId="aa">
    <w:name w:val="Table Grid"/>
    <w:basedOn w:val="a1"/>
    <w:uiPriority w:val="39"/>
    <w:rsid w:val="00E608F2"/>
    <w:pPr>
      <w:spacing w:before="0" w:after="0"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08F2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2018-10-16T01:25:00Z</cp:lastPrinted>
  <dcterms:created xsi:type="dcterms:W3CDTF">2018-10-16T01:25:00Z</dcterms:created>
  <dcterms:modified xsi:type="dcterms:W3CDTF">2018-10-16T01:25:00Z</dcterms:modified>
</cp:coreProperties>
</file>